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9B" w:rsidRPr="00535177" w:rsidRDefault="004A319B" w:rsidP="00535177">
      <w:pPr>
        <w:shd w:val="clear" w:color="auto" w:fill="EAEAEA"/>
        <w:spacing w:after="0" w:line="120" w:lineRule="atLeast"/>
        <w:jc w:val="center"/>
        <w:rPr>
          <w:rFonts w:ascii="Arial" w:hAnsi="Arial" w:cs="Arial"/>
          <w:b/>
          <w:bCs/>
          <w:color w:val="000000"/>
          <w:sz w:val="24"/>
          <w:szCs w:val="24"/>
          <w:lang w:eastAsia="fr-FR"/>
        </w:rPr>
      </w:pPr>
      <w:r>
        <w:rPr>
          <w:rFonts w:ascii="Arial" w:hAnsi="Arial" w:cs="Arial"/>
          <w:b/>
          <w:bCs/>
          <w:color w:val="000000"/>
          <w:sz w:val="24"/>
          <w:szCs w:val="24"/>
          <w:lang w:eastAsia="fr-FR"/>
        </w:rPr>
        <w:t>Avis d’appel public à la concurrence</w:t>
      </w:r>
    </w:p>
    <w:p w:rsidR="004A319B" w:rsidRPr="00535177" w:rsidRDefault="004A319B" w:rsidP="00535177">
      <w:pPr>
        <w:shd w:val="clear" w:color="auto" w:fill="EAEAEA"/>
        <w:spacing w:after="0" w:line="120" w:lineRule="atLeast"/>
        <w:rPr>
          <w:rFonts w:ascii="Arial" w:hAnsi="Arial" w:cs="Arial"/>
          <w:b/>
          <w:bCs/>
          <w:color w:val="000000"/>
          <w:sz w:val="24"/>
          <w:szCs w:val="24"/>
          <w:lang w:eastAsia="fr-FR"/>
        </w:rPr>
      </w:pP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Nom et adresse officiels de l'organisme acheteur : </w:t>
      </w:r>
      <w:r w:rsidRPr="00535177">
        <w:rPr>
          <w:rFonts w:ascii="Arial" w:hAnsi="Arial" w:cs="Arial"/>
          <w:color w:val="000000"/>
          <w:sz w:val="24"/>
          <w:szCs w:val="24"/>
          <w:lang w:eastAsia="fr-FR"/>
        </w:rPr>
        <w:t>COMMUNE D'AGDE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Correspondant : </w:t>
      </w:r>
      <w:r w:rsidRPr="00535177">
        <w:rPr>
          <w:rFonts w:ascii="Arial" w:hAnsi="Arial" w:cs="Arial"/>
          <w:color w:val="000000"/>
          <w:sz w:val="24"/>
          <w:szCs w:val="24"/>
          <w:lang w:eastAsia="fr-FR"/>
        </w:rPr>
        <w:t xml:space="preserve">Mme Christine MOUYSSET, Déléguée aux marchés publics, 16 rue Alsace Lorraine CS 20007, 34306 Agde cedex, tél. : 04 67 94 64 10, télécopieur : 04 67 94 64 19, courriel : </w:t>
      </w:r>
      <w:hyperlink r:id="rId4" w:history="1">
        <w:r w:rsidRPr="00535177">
          <w:rPr>
            <w:rFonts w:ascii="Arial" w:hAnsi="Arial" w:cs="Arial"/>
            <w:color w:val="000000"/>
            <w:sz w:val="24"/>
            <w:szCs w:val="24"/>
            <w:u w:val="single"/>
            <w:lang w:eastAsia="fr-FR"/>
          </w:rPr>
          <w:t>marches@ville-agde.fr</w:t>
        </w:r>
      </w:hyperlink>
      <w:r w:rsidRPr="00535177">
        <w:rPr>
          <w:rFonts w:ascii="Arial" w:hAnsi="Arial" w:cs="Arial"/>
          <w:color w:val="000000"/>
          <w:sz w:val="24"/>
          <w:szCs w:val="24"/>
          <w:lang w:eastAsia="fr-FR"/>
        </w:rPr>
        <w:t xml:space="preserve">, adresse internet du profil acheteur : </w:t>
      </w:r>
      <w:hyperlink r:id="rId5" w:tgtFrame="_blank" w:history="1">
        <w:r w:rsidRPr="00535177">
          <w:rPr>
            <w:rFonts w:ascii="Arial" w:hAnsi="Arial" w:cs="Arial"/>
            <w:color w:val="000000"/>
            <w:sz w:val="24"/>
            <w:szCs w:val="24"/>
            <w:u w:val="single"/>
            <w:lang w:eastAsia="fr-FR"/>
          </w:rPr>
          <w:t>http://mapa.ville-agde.fr</w:t>
        </w:r>
      </w:hyperlink>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Le pouvoir adjudicateur n'agit pas pour le compte d'autres pouvoirs adjudicateurs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Principale(s) Activité(s) du pouvoir adjudicateur : </w:t>
      </w:r>
      <w:r w:rsidRPr="00535177">
        <w:rPr>
          <w:rFonts w:ascii="Arial" w:hAnsi="Arial" w:cs="Arial"/>
          <w:color w:val="000000"/>
          <w:sz w:val="24"/>
          <w:szCs w:val="24"/>
          <w:lang w:eastAsia="fr-FR"/>
        </w:rPr>
        <w:br/>
        <w:t>• Services généraux des administrations publiques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Objet du marché : Fourniture et pose d'un poste de secours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Type de marché de fournitures : </w:t>
      </w:r>
      <w:r w:rsidRPr="00535177">
        <w:rPr>
          <w:rFonts w:ascii="Arial" w:hAnsi="Arial" w:cs="Arial"/>
          <w:color w:val="000000"/>
          <w:sz w:val="24"/>
          <w:szCs w:val="24"/>
          <w:lang w:eastAsia="fr-FR"/>
        </w:rPr>
        <w:t>Achat</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Classification CPV</w:t>
      </w:r>
      <w:r w:rsidRPr="00535177">
        <w:rPr>
          <w:rFonts w:ascii="Arial" w:hAnsi="Arial" w:cs="Arial"/>
          <w:color w:val="000000"/>
          <w:sz w:val="24"/>
          <w:szCs w:val="24"/>
          <w:lang w:eastAsia="fr-FR"/>
        </w:rPr>
        <w:t xml:space="preserve"> (Vocabulaire Commun des Marchés) : </w:t>
      </w:r>
      <w:r w:rsidRPr="00535177">
        <w:rPr>
          <w:rFonts w:ascii="Arial" w:hAnsi="Arial" w:cs="Arial"/>
          <w:color w:val="000000"/>
          <w:sz w:val="24"/>
          <w:szCs w:val="24"/>
          <w:lang w:eastAsia="fr-FR"/>
        </w:rPr>
        <w:br/>
        <w:t>• Objet principal : 33195200</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Lieu d'exécution et de livraison : </w:t>
      </w:r>
      <w:r w:rsidRPr="00535177">
        <w:rPr>
          <w:rFonts w:ascii="Arial" w:hAnsi="Arial" w:cs="Arial"/>
          <w:color w:val="000000"/>
          <w:sz w:val="24"/>
          <w:szCs w:val="24"/>
          <w:lang w:eastAsia="fr-FR"/>
        </w:rPr>
        <w:t>Plage du Grau d'Agde - Boulevard du Front de Mer, 34300 Le grau d'agde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Code NUTS : </w:t>
      </w:r>
      <w:r w:rsidRPr="00535177">
        <w:rPr>
          <w:rFonts w:ascii="Arial" w:hAnsi="Arial" w:cs="Arial"/>
          <w:color w:val="000000"/>
          <w:sz w:val="24"/>
          <w:szCs w:val="24"/>
          <w:lang w:eastAsia="fr-FR"/>
        </w:rPr>
        <w:t>FR813</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L'avis implique un marché public</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Caractéristiques principales : </w:t>
      </w:r>
      <w:r w:rsidRPr="00535177">
        <w:rPr>
          <w:rFonts w:ascii="Arial" w:hAnsi="Arial" w:cs="Arial"/>
          <w:color w:val="000000"/>
          <w:sz w:val="24"/>
          <w:szCs w:val="24"/>
          <w:lang w:eastAsia="fr-FR"/>
        </w:rPr>
        <w:br/>
        <w:t>• Des variantes seront-elles prises en compte : non</w:t>
      </w:r>
      <w:r w:rsidRPr="00535177">
        <w:rPr>
          <w:rFonts w:ascii="Arial" w:hAnsi="Arial" w:cs="Arial"/>
          <w:color w:val="000000"/>
          <w:sz w:val="24"/>
          <w:szCs w:val="24"/>
          <w:lang w:eastAsia="fr-FR"/>
        </w:rPr>
        <w:br/>
        <w:t>• Ce marché concerne l'acquisition d'un poste de secours avec une infirmerie sur le devant, un vestiaire sur la partie arrière, une vigie sur le toit et une terrasse ainsi que son installation à la Plage du Grau d'Agde.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 poste de secours devra impérativement être livré et opérationnel au plus tard le 07 Juin 2013.</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Prestations divisées en lots : </w:t>
      </w:r>
      <w:r w:rsidRPr="00535177">
        <w:rPr>
          <w:rFonts w:ascii="Arial" w:hAnsi="Arial" w:cs="Arial"/>
          <w:color w:val="000000"/>
          <w:sz w:val="24"/>
          <w:szCs w:val="24"/>
          <w:lang w:eastAsia="fr-FR"/>
        </w:rPr>
        <w:t>non</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Date prévisionnelle de début des prestations (Marché de fournitures/services) : </w:t>
      </w:r>
      <w:r w:rsidRPr="00535177">
        <w:rPr>
          <w:rFonts w:ascii="Arial" w:hAnsi="Arial" w:cs="Arial"/>
          <w:color w:val="000000"/>
          <w:sz w:val="24"/>
          <w:szCs w:val="24"/>
          <w:lang w:eastAsia="fr-FR"/>
        </w:rPr>
        <w:t>13 mai 2013</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Modalités essentielles de financement et de paiement et/ou références aux textes qui les réglementent : </w:t>
      </w:r>
      <w:r w:rsidRPr="00535177">
        <w:rPr>
          <w:rFonts w:ascii="Arial" w:hAnsi="Arial" w:cs="Arial"/>
          <w:color w:val="000000"/>
          <w:sz w:val="24"/>
          <w:szCs w:val="24"/>
          <w:lang w:eastAsia="fr-FR"/>
        </w:rPr>
        <w:t>Financement : ressources propres de la ville, subventions éventuelles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Paiement : virement par mandat administratif, dans les conditions fixées à l'article 98 du CMP</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Forme juridique</w:t>
      </w:r>
      <w:r w:rsidRPr="00535177">
        <w:rPr>
          <w:rFonts w:ascii="Arial" w:hAnsi="Arial" w:cs="Arial"/>
          <w:color w:val="000000"/>
          <w:sz w:val="24"/>
          <w:szCs w:val="24"/>
          <w:lang w:eastAsia="fr-FR"/>
        </w:rPr>
        <w:t xml:space="preserve"> que devra revêtir le groupement d'opérateurs économiques attributaire du marché : En application des dispositions de l'article 51 du code des marchés publics, les opérateurs économiques sont autorisés à se porter candidat sous forme de groupement solidaire ou de groupement conjoint, sous réserve du respect des règles relatives à la concurrence.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Dans les deux formes de groupements, l'un des opérateurs économiques membres du groupement, désigné dans l'acte d'engagement comme mandataire, représente l'ensemble des membres vis-à-vis du pouvoir adjudicateur et coordonne les prestations des membres du groupement.</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 xml:space="preserve">Les candidatures et les offres sont présentées soit par l'ensemble des opérateurs économiques groupés, soit par le mandataire s'il justifie des habilitations nécessaires pour représenter ces opérateurs économiques au stade de la passation du marché.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 xml:space="preserve">Pour l'exécution du marché et en cas de groupement d'opérateurs économiques conjoint, il est demandé expressément que le mandataire soit solidaire de chacun des membres du groupement pour ses obligations contractuelles à l'égard du pouvoir adjudicateur.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D'autre part, il est interdit à un même candidat de présenter plusieurs offres en agissant à la fois en qualité de candidat individuel et de membre d'un ou plusieurs groupements ou de membre de plusieurs groupements.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Un même opérateur économique ne peut pas être mandataire de plus d'un groupement pour un même marché.</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L'exécution du marché est soumise à d'autres conditions particulières : </w:t>
      </w:r>
      <w:r w:rsidRPr="00535177">
        <w:rPr>
          <w:rFonts w:ascii="Arial" w:hAnsi="Arial" w:cs="Arial"/>
          <w:color w:val="000000"/>
          <w:sz w:val="24"/>
          <w:szCs w:val="24"/>
          <w:lang w:eastAsia="fr-FR"/>
        </w:rPr>
        <w:t>non</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Langues pouvant être utilisées dans l'offre ou la candidature : </w:t>
      </w:r>
      <w:r w:rsidRPr="00535177">
        <w:rPr>
          <w:rFonts w:ascii="Arial" w:hAnsi="Arial" w:cs="Arial"/>
          <w:color w:val="000000"/>
          <w:sz w:val="24"/>
          <w:szCs w:val="24"/>
          <w:lang w:eastAsia="fr-FR"/>
        </w:rPr>
        <w:t>français.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Unité monétaire utilisée, l'euro</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Conditions de participation : </w:t>
      </w:r>
      <w:r w:rsidRPr="00535177">
        <w:rPr>
          <w:rFonts w:ascii="Arial" w:hAnsi="Arial" w:cs="Arial"/>
          <w:color w:val="000000"/>
          <w:sz w:val="24"/>
          <w:szCs w:val="24"/>
          <w:lang w:eastAsia="fr-FR"/>
        </w:rPr>
        <w:br/>
        <w:t>• Critères de sélection des candidatures : 1) garanties professionnelles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2) garanties financières</w:t>
      </w:r>
      <w:r w:rsidRPr="00535177">
        <w:rPr>
          <w:rFonts w:ascii="Arial" w:hAnsi="Arial" w:cs="Arial"/>
          <w:color w:val="000000"/>
          <w:sz w:val="24"/>
          <w:szCs w:val="24"/>
          <w:lang w:eastAsia="fr-FR"/>
        </w:rPr>
        <w:br/>
        <w:t>• Situation juridique - références requises : La lettre de candidature, établie sur l'imprimé « DC1 » joint au dossier de la consultation ou sous forme libre, et le cas échéant, la lettre d'habilitation du mandataire par ses cotraitants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La déclaration du candidat, établie sur l'imprimé « DC2 » joint au dossier de la consultation ou sous forme libre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Les pièces mentionnées à l'article D. 8222-5 du Code du travail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Une déclaration sur l'honneur, dûment datée et signée, d'avoir souscrit, au 31 décembre 2012, les déclarations lui incombant en matière fiscale et sociale et avoir effectué le paiement des impôts et cotisations exigibles à cette date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Une déclaration sur l'honneur que le candidat ne fait pas l'objet d'une interdiction de concourir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Une déclaration sur l'honneur que le candidat n'a pas fait l'objet, au cours des cinq dernières années, d'une condamnation inscrite au bulletin N° 2 du casier judiciaire pour les infractions visées aux articles L.8221-1 à L.8221-2, L.8221-3 à L.8221-5, L.5221-8 à L.8251-1, L.8231-1 et L.8241-1 à L.8241-2 du code du travail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Si le candidat est en redressement judiciaire, la copie du ou des jugements prononcés à cet effet et la justification de son habilitation à poursuivre son activité pendant la durée prévisible d'exécution du marché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Une attestation d'assurances en cours de validité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Le(s) document(s) relatif(s) aux pouvoirs de la personne habilitée pour engager le candidat</w:t>
      </w:r>
      <w:r w:rsidRPr="00535177">
        <w:rPr>
          <w:rFonts w:ascii="Arial" w:hAnsi="Arial" w:cs="Arial"/>
          <w:color w:val="000000"/>
          <w:sz w:val="24"/>
          <w:szCs w:val="24"/>
          <w:lang w:eastAsia="fr-FR"/>
        </w:rPr>
        <w:br/>
        <w:t xml:space="preserve">• Référence professionnelle et capacité technique - références requises : Les moyens humains et matériels dont dispose le candidat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Les références du candidat en matière de fournitures similaires livrées au cours des trois dernières années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Marché réservé : </w:t>
      </w:r>
      <w:r w:rsidRPr="00535177">
        <w:rPr>
          <w:rFonts w:ascii="Arial" w:hAnsi="Arial" w:cs="Arial"/>
          <w:color w:val="000000"/>
          <w:sz w:val="24"/>
          <w:szCs w:val="24"/>
          <w:lang w:eastAsia="fr-FR"/>
        </w:rPr>
        <w:t>Non</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Critères d'attribution : </w:t>
      </w:r>
      <w:r w:rsidRPr="00535177">
        <w:rPr>
          <w:rFonts w:ascii="Arial" w:hAnsi="Arial" w:cs="Arial"/>
          <w:color w:val="000000"/>
          <w:sz w:val="24"/>
          <w:szCs w:val="24"/>
          <w:lang w:eastAsia="fr-FR"/>
        </w:rPr>
        <w:t xml:space="preserve">Offre économiquement la plus avantageuse appréciée en fonction des critères énoncés ci dessous avec leur pondération : </w:t>
      </w:r>
      <w:r w:rsidRPr="00535177">
        <w:rPr>
          <w:rFonts w:ascii="Arial" w:hAnsi="Arial" w:cs="Arial"/>
          <w:color w:val="000000"/>
          <w:sz w:val="24"/>
          <w:szCs w:val="24"/>
          <w:lang w:eastAsia="fr-FR"/>
        </w:rPr>
        <w:br/>
        <w:t>• Valeur technique (45 %)</w:t>
      </w:r>
      <w:r w:rsidRPr="00535177">
        <w:rPr>
          <w:rFonts w:ascii="Arial" w:hAnsi="Arial" w:cs="Arial"/>
          <w:color w:val="000000"/>
          <w:sz w:val="24"/>
          <w:szCs w:val="24"/>
          <w:lang w:eastAsia="fr-FR"/>
        </w:rPr>
        <w:br/>
        <w:t>• Prix (35 %)</w:t>
      </w:r>
      <w:r w:rsidRPr="00535177">
        <w:rPr>
          <w:rFonts w:ascii="Arial" w:hAnsi="Arial" w:cs="Arial"/>
          <w:color w:val="000000"/>
          <w:sz w:val="24"/>
          <w:szCs w:val="24"/>
          <w:lang w:eastAsia="fr-FR"/>
        </w:rPr>
        <w:br/>
        <w:t>• Délai d'exécution (20 %)</w:t>
      </w:r>
      <w:r w:rsidRPr="00535177">
        <w:rPr>
          <w:rFonts w:ascii="Arial" w:hAnsi="Arial" w:cs="Arial"/>
          <w:color w:val="000000"/>
          <w:sz w:val="24"/>
          <w:szCs w:val="24"/>
          <w:lang w:eastAsia="fr-FR"/>
        </w:rPr>
        <w:br/>
        <w:t>• Pas d'enchère électronique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Type de procédure : </w:t>
      </w:r>
      <w:r w:rsidRPr="00535177">
        <w:rPr>
          <w:rFonts w:ascii="Arial" w:hAnsi="Arial" w:cs="Arial"/>
          <w:color w:val="000000"/>
          <w:sz w:val="24"/>
          <w:szCs w:val="24"/>
          <w:lang w:eastAsia="fr-FR"/>
        </w:rPr>
        <w:t>Procédure adaptée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Date limite de réception des offres : 15 avril 2013 à 16 h 30</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Délai minimum de validité des offres : </w:t>
      </w:r>
      <w:r w:rsidRPr="00535177">
        <w:rPr>
          <w:rFonts w:ascii="Arial" w:hAnsi="Arial" w:cs="Arial"/>
          <w:color w:val="000000"/>
          <w:sz w:val="24"/>
          <w:szCs w:val="24"/>
          <w:lang w:eastAsia="fr-FR"/>
        </w:rPr>
        <w:t>180 jours à compter de la date limite de réception des offres.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Renseignements complémentaires : </w:t>
      </w:r>
      <w:r w:rsidRPr="00535177">
        <w:rPr>
          <w:rFonts w:ascii="Arial" w:hAnsi="Arial" w:cs="Arial"/>
          <w:color w:val="000000"/>
          <w:sz w:val="24"/>
          <w:szCs w:val="24"/>
          <w:lang w:eastAsia="fr-FR"/>
        </w:rPr>
        <w:t>Le Dossier de Consultation des Entreprises (D.C.E) peut être retiré, après demande par courrier ou télécopie, auprès du service des marchés publics de la Mairie d'Agde dont les coordonnées figurent ci-dessus.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 D.C.E peut également être téléchargé directement sur le site Internet de la Ville d'Agde à l'adresse URL suivante : http://mapa.ville-agde.fr. Cependant la remise des plis par voie électronique n'est pas autorisée.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Les dossiers des candidats sont transmis par tout moyen permettant de déterminer de façon certaine la date et l'heure de leur réception et de garantir leur confidentialité.</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L'enveloppe contenant toutes les pièces de la candidature et de l'offre doit être transmise à l'adresse figurant ci-dessus ou remise contre récépissé à cette même adresse, service des « marchés publics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Ce pli doit être fermé et doit comporter la mention « Ne pas ouvrir - Procédure adaptée pour la fourniture et la pose d'un poste de secours».</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Date d'envoi du présent avis à la publication : </w:t>
      </w:r>
      <w:r w:rsidRPr="00535177">
        <w:rPr>
          <w:rFonts w:ascii="Arial" w:hAnsi="Arial" w:cs="Arial"/>
          <w:color w:val="000000"/>
          <w:sz w:val="24"/>
          <w:szCs w:val="24"/>
          <w:lang w:eastAsia="fr-FR"/>
        </w:rPr>
        <w:t>21 mars 2013</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Adresse auprès de laquelle des renseignements d'ordre technique peuvent être obtenus : </w:t>
      </w:r>
      <w:r w:rsidRPr="00535177">
        <w:rPr>
          <w:rFonts w:ascii="Arial" w:hAnsi="Arial" w:cs="Arial"/>
          <w:color w:val="000000"/>
          <w:sz w:val="24"/>
          <w:szCs w:val="24"/>
          <w:lang w:eastAsia="fr-FR"/>
        </w:rPr>
        <w:t>M. Christophe COSSET , Mairie d'Agde Direction Environnement et Domanialité, 16 Rue Alsace Lorraine CS 20007, 34306 Agde cedex, tél. : 04 67 94 64 63, télécopieur : 04 67 94 64 69</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Adresse auprès de laquelle des renseignements d'ordre administratif peuvent être obtenus : </w:t>
      </w:r>
      <w:r w:rsidRPr="00535177">
        <w:rPr>
          <w:rFonts w:ascii="Arial" w:hAnsi="Arial" w:cs="Arial"/>
          <w:color w:val="000000"/>
          <w:sz w:val="24"/>
          <w:szCs w:val="24"/>
          <w:lang w:eastAsia="fr-FR"/>
        </w:rPr>
        <w:t xml:space="preserve">Mme Patricia NEGROU , Mairie d'agde Service des marchés publics, 16, rue alsace lorraine cs 20007, 34306 Agde cedex, tél. : 04 67 94 64 10, télécopieur : 04 67 94 64 19, courriel : </w:t>
      </w:r>
      <w:hyperlink r:id="rId6" w:history="1">
        <w:r w:rsidRPr="00535177">
          <w:rPr>
            <w:rFonts w:ascii="Arial" w:hAnsi="Arial" w:cs="Arial"/>
            <w:color w:val="000000"/>
            <w:sz w:val="24"/>
            <w:szCs w:val="24"/>
            <w:u w:val="single"/>
            <w:lang w:eastAsia="fr-FR"/>
          </w:rPr>
          <w:t>marches@ville-agde.fr</w:t>
        </w:r>
      </w:hyperlink>
      <w:r w:rsidRPr="00535177">
        <w:rPr>
          <w:rFonts w:ascii="Arial" w:hAnsi="Arial" w:cs="Arial"/>
          <w:color w:val="000000"/>
          <w:sz w:val="24"/>
          <w:szCs w:val="24"/>
          <w:lang w:eastAsia="fr-FR"/>
        </w:rPr>
        <w:t xml:space="preserve">, adresse internet : </w:t>
      </w:r>
      <w:hyperlink r:id="rId7" w:tgtFrame="_blank" w:history="1">
        <w:r w:rsidRPr="00535177">
          <w:rPr>
            <w:rFonts w:ascii="Arial" w:hAnsi="Arial" w:cs="Arial"/>
            <w:color w:val="000000"/>
            <w:sz w:val="24"/>
            <w:szCs w:val="24"/>
            <w:u w:val="single"/>
            <w:lang w:eastAsia="fr-FR"/>
          </w:rPr>
          <w:t>http://mapa.ville-agde.fr</w:t>
        </w:r>
      </w:hyperlink>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Adresse auprès de laquelle les documents peuvent être obtenus : </w:t>
      </w:r>
      <w:r w:rsidRPr="00535177">
        <w:rPr>
          <w:rFonts w:ascii="Arial" w:hAnsi="Arial" w:cs="Arial"/>
          <w:color w:val="000000"/>
          <w:sz w:val="24"/>
          <w:szCs w:val="24"/>
          <w:lang w:eastAsia="fr-FR"/>
        </w:rPr>
        <w:t xml:space="preserve">Mme Patricia NEGROU , Mairie d'Agde Service des marchés publics, 16 Rue Alsace Lorraine CS 20007, 34306 Agde cedex, tél. : 04 67 94 64 10, télécopieur : 04 67 94 64 19, courriel : </w:t>
      </w:r>
      <w:hyperlink r:id="rId8" w:history="1">
        <w:r w:rsidRPr="00535177">
          <w:rPr>
            <w:rFonts w:ascii="Arial" w:hAnsi="Arial" w:cs="Arial"/>
            <w:color w:val="000000"/>
            <w:sz w:val="24"/>
            <w:szCs w:val="24"/>
            <w:u w:val="single"/>
            <w:lang w:eastAsia="fr-FR"/>
          </w:rPr>
          <w:t>marches@ville-agde.fr</w:t>
        </w:r>
      </w:hyperlink>
      <w:r w:rsidRPr="00535177">
        <w:rPr>
          <w:rFonts w:ascii="Arial" w:hAnsi="Arial" w:cs="Arial"/>
          <w:color w:val="000000"/>
          <w:sz w:val="24"/>
          <w:szCs w:val="24"/>
          <w:lang w:eastAsia="fr-FR"/>
        </w:rPr>
        <w:t xml:space="preserve">, adresse internet : </w:t>
      </w:r>
      <w:hyperlink r:id="rId9" w:tgtFrame="_blank" w:history="1">
        <w:r w:rsidRPr="00535177">
          <w:rPr>
            <w:rFonts w:ascii="Arial" w:hAnsi="Arial" w:cs="Arial"/>
            <w:color w:val="000000"/>
            <w:sz w:val="24"/>
            <w:szCs w:val="24"/>
            <w:u w:val="single"/>
            <w:lang w:eastAsia="fr-FR"/>
          </w:rPr>
          <w:t>http://mapa.ville-agde.fr</w:t>
        </w:r>
      </w:hyperlink>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Informations complémentaires : </w:t>
      </w:r>
      <w:r w:rsidRPr="00535177">
        <w:rPr>
          <w:rFonts w:ascii="Arial" w:hAnsi="Arial" w:cs="Arial"/>
          <w:color w:val="000000"/>
          <w:sz w:val="24"/>
          <w:szCs w:val="24"/>
          <w:lang w:eastAsia="fr-FR"/>
        </w:rPr>
        <w:br/>
        <w:t>• La prestation n'est pas réservée à une profession particulière</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Conditions et mode de paiement pour obtenir les documents contractuels et additionnels : </w:t>
      </w:r>
    </w:p>
    <w:p w:rsidR="004A319B" w:rsidRPr="00535177" w:rsidRDefault="004A319B" w:rsidP="00535177">
      <w:pPr>
        <w:shd w:val="clear" w:color="auto" w:fill="EAEAEA"/>
        <w:spacing w:after="0" w:line="120" w:lineRule="atLeast"/>
        <w:rPr>
          <w:rFonts w:ascii="Arial" w:hAnsi="Arial" w:cs="Arial"/>
          <w:color w:val="000000"/>
          <w:sz w:val="24"/>
          <w:szCs w:val="24"/>
          <w:lang w:eastAsia="fr-FR"/>
        </w:rPr>
      </w:pPr>
      <w:r w:rsidRPr="00535177">
        <w:rPr>
          <w:rFonts w:ascii="Arial" w:hAnsi="Arial" w:cs="Arial"/>
          <w:color w:val="000000"/>
          <w:sz w:val="24"/>
          <w:szCs w:val="24"/>
          <w:lang w:eastAsia="fr-FR"/>
        </w:rPr>
        <w:t>Date limite d'obtention : 15 avril 2013 à 16 h 30</w:t>
      </w:r>
    </w:p>
    <w:p w:rsidR="004A319B" w:rsidRPr="00535177" w:rsidRDefault="004A319B" w:rsidP="00535177">
      <w:pPr>
        <w:shd w:val="clear" w:color="auto" w:fill="EAEAEA"/>
        <w:spacing w:after="100" w:line="120" w:lineRule="atLeast"/>
        <w:rPr>
          <w:rFonts w:ascii="Arial" w:hAnsi="Arial" w:cs="Arial"/>
          <w:color w:val="000000"/>
          <w:sz w:val="24"/>
          <w:szCs w:val="24"/>
          <w:lang w:eastAsia="fr-FR"/>
        </w:rPr>
      </w:pPr>
      <w:r w:rsidRPr="00535177">
        <w:rPr>
          <w:rFonts w:ascii="Arial" w:hAnsi="Arial" w:cs="Arial"/>
          <w:b/>
          <w:bCs/>
          <w:color w:val="000000"/>
          <w:sz w:val="24"/>
          <w:szCs w:val="24"/>
          <w:lang w:eastAsia="fr-FR"/>
        </w:rPr>
        <w:t xml:space="preserve">Détails d'introduction des recours : </w:t>
      </w:r>
      <w:r w:rsidRPr="00535177">
        <w:rPr>
          <w:rFonts w:ascii="Arial" w:hAnsi="Arial" w:cs="Arial"/>
          <w:color w:val="000000"/>
          <w:sz w:val="24"/>
          <w:szCs w:val="24"/>
          <w:lang w:eastAsia="fr-FR"/>
        </w:rPr>
        <w:t>Greffe du tribunal administratif de Montpellier - 6, rue Pitot - 34063 Montpellier cedex - horaires d'ouverture du lundi au vendredi : 8h30 à 12h30 et de 13h30 à 17h00 - tel : 04.67.54.81.00 - fax : 04.67.54.74.10</w:t>
      </w:r>
    </w:p>
    <w:p w:rsidR="004A319B" w:rsidRPr="00535177" w:rsidRDefault="004A319B">
      <w:pPr>
        <w:rPr>
          <w:rFonts w:ascii="Arial" w:hAnsi="Arial" w:cs="Arial"/>
          <w:sz w:val="24"/>
          <w:szCs w:val="24"/>
        </w:rPr>
      </w:pPr>
    </w:p>
    <w:sectPr w:rsidR="004A319B" w:rsidRPr="00535177" w:rsidSect="009F28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77"/>
    <w:rsid w:val="000A0787"/>
    <w:rsid w:val="001D5151"/>
    <w:rsid w:val="002D0EDD"/>
    <w:rsid w:val="004A319B"/>
    <w:rsid w:val="00535177"/>
    <w:rsid w:val="007C3931"/>
    <w:rsid w:val="009F28C5"/>
    <w:rsid w:val="00CC331E"/>
    <w:rsid w:val="00F8231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C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5177"/>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728846304">
      <w:marLeft w:val="0"/>
      <w:marRight w:val="0"/>
      <w:marTop w:val="0"/>
      <w:marBottom w:val="0"/>
      <w:divBdr>
        <w:top w:val="none" w:sz="0" w:space="0" w:color="auto"/>
        <w:left w:val="none" w:sz="0" w:space="0" w:color="auto"/>
        <w:bottom w:val="none" w:sz="0" w:space="0" w:color="auto"/>
        <w:right w:val="none" w:sz="0" w:space="0" w:color="auto"/>
      </w:divBdr>
      <w:divsChild>
        <w:div w:id="728846302">
          <w:marLeft w:val="100"/>
          <w:marRight w:val="100"/>
          <w:marTop w:val="100"/>
          <w:marBottom w:val="100"/>
          <w:divBdr>
            <w:top w:val="single" w:sz="4" w:space="5" w:color="80919F"/>
            <w:left w:val="single" w:sz="4" w:space="5" w:color="80919F"/>
            <w:bottom w:val="single" w:sz="4" w:space="5" w:color="80919F"/>
            <w:right w:val="single" w:sz="4" w:space="5" w:color="80919F"/>
          </w:divBdr>
          <w:divsChild>
            <w:div w:id="728846303">
              <w:marLeft w:val="0"/>
              <w:marRight w:val="0"/>
              <w:marTop w:val="100"/>
              <w:marBottom w:val="100"/>
              <w:divBdr>
                <w:top w:val="single" w:sz="4" w:space="4" w:color="80919F"/>
                <w:left w:val="single" w:sz="4" w:space="4" w:color="80919F"/>
                <w:bottom w:val="single" w:sz="4" w:space="4" w:color="80919F"/>
                <w:right w:val="single" w:sz="4" w:space="4" w:color="80919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ville-agde.fr" TargetMode="External"/><Relationship Id="rId3" Type="http://schemas.openxmlformats.org/officeDocument/2006/relationships/webSettings" Target="webSettings.xml"/><Relationship Id="rId7" Type="http://schemas.openxmlformats.org/officeDocument/2006/relationships/hyperlink" Target="http://mapa.ville-agd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hes@ville-agde.fr" TargetMode="External"/><Relationship Id="rId11" Type="http://schemas.openxmlformats.org/officeDocument/2006/relationships/theme" Target="theme/theme1.xml"/><Relationship Id="rId5" Type="http://schemas.openxmlformats.org/officeDocument/2006/relationships/hyperlink" Target="http://mapa.ville-agde.fr" TargetMode="External"/><Relationship Id="rId10" Type="http://schemas.openxmlformats.org/officeDocument/2006/relationships/fontTable" Target="fontTable.xml"/><Relationship Id="rId4" Type="http://schemas.openxmlformats.org/officeDocument/2006/relationships/hyperlink" Target="mailto:marches@ville-agde.fr" TargetMode="External"/><Relationship Id="rId9" Type="http://schemas.openxmlformats.org/officeDocument/2006/relationships/hyperlink" Target="http://mapa.ville-agd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1285</Words>
  <Characters>7070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public à la concurrence</dc:title>
  <dc:subject/>
  <dc:creator>dominique.beziat</dc:creator>
  <cp:keywords/>
  <dc:description/>
  <cp:lastModifiedBy>celine.colomban</cp:lastModifiedBy>
  <cp:revision>2</cp:revision>
  <dcterms:created xsi:type="dcterms:W3CDTF">2013-03-21T14:50:00Z</dcterms:created>
  <dcterms:modified xsi:type="dcterms:W3CDTF">2013-03-21T14:50:00Z</dcterms:modified>
</cp:coreProperties>
</file>